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333333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‌Министерство просвещения и воспитания Ульяновской области‌‌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‌Муниципальное учреждение управления образования МО "Чердаклинский район" Ульяновской области‌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​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МОУ Озерская СШ</w:t>
      </w:r>
    </w:p>
    <w:p w:rsidR="00000000" w:rsidDel="00000000" w:rsidP="00000000" w:rsidRDefault="00000000" w:rsidRPr="00000000" w14:paraId="00000005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  <w:sectPr>
          <w:pgSz w:h="11909" w:w="16834" w:orient="landscape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РАССМОТРЕНО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МО учителей словесности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D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25400" cy="254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right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Чиженок Р.Г.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Протокол №1</w:t>
        <w:br w:type="textWrapping"/>
        <w:t xml:space="preserve"> от «29» августа 2024 г.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СОГЛАСОВАНО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Заместитель директора по УР</w:t>
      </w:r>
    </w:p>
    <w:p w:rsidR="00000000" w:rsidDel="00000000" w:rsidP="00000000" w:rsidRDefault="00000000" w:rsidRPr="00000000" w14:paraId="00000014">
      <w:pPr>
        <w:jc w:val="right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</w:rPr>
        <w:drawing>
          <wp:inline distB="114300" distT="114300" distL="114300" distR="114300">
            <wp:extent cx="25400" cy="254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right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Айнетдинова Т.И.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Приказ №1</w:t>
        <w:br w:type="textWrapping"/>
        <w:t xml:space="preserve"> от «29» августа 2024 г.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УТВЕРЖДЕНО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Директор школы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C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25400" cy="25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right"/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Ерженина Д.А.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color w:val="333333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1"/>
          <w:szCs w:val="21"/>
          <w:rtl w:val="0"/>
        </w:rPr>
        <w:t xml:space="preserve">Приказ №285</w:t>
        <w:br w:type="textWrapping"/>
        <w:t xml:space="preserve"> от «30» августа 2024 г.</w:t>
      </w:r>
    </w:p>
    <w:p w:rsidR="00000000" w:rsidDel="00000000" w:rsidP="00000000" w:rsidRDefault="00000000" w:rsidRPr="00000000" w14:paraId="0000001F">
      <w:pPr>
        <w:spacing w:line="276" w:lineRule="auto"/>
        <w:ind w:left="120" w:firstLine="0"/>
        <w:rPr>
          <w:rFonts w:ascii="Times New Roman" w:cs="Times New Roman" w:eastAsia="Times New Roman" w:hAnsi="Times New Roman"/>
          <w:b w:val="1"/>
          <w:sz w:val="28"/>
          <w:szCs w:val="28"/>
        </w:rPr>
        <w:sectPr>
          <w:type w:val="continuous"/>
          <w:pgSz w:h="11909" w:w="16834" w:orient="landscape"/>
          <w:pgMar w:bottom="1440" w:top="1440" w:left="1440" w:right="1440" w:header="360" w:footer="360"/>
          <w:cols w:equalWidth="0" w:num="3">
            <w:col w:space="720" w:w="4172.58"/>
            <w:col w:space="720" w:w="4172.58"/>
            <w:col w:space="0" w:w="4172.58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1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1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1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1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1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Элективного курса «Русский язык. Орфография и пунктуация»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408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обучающихся 11 классов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12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с. Озерки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kix.383bkg3fiuju" w:id="0"/>
    <w:bookmarkEnd w:id="0"/>
    <w:p w:rsidR="00000000" w:rsidDel="00000000" w:rsidP="00000000" w:rsidRDefault="00000000" w:rsidRPr="00000000" w14:paraId="00000035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36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Рабочая программа элективного курса для 11 класса составлена на основе Рабочей программы основного общего образования по русскому языку, федерального базисного учебного плана для общеобразовательных учреждений РФ и авторской программы.</w:t>
      </w:r>
    </w:p>
    <w:p w:rsidR="00000000" w:rsidDel="00000000" w:rsidP="00000000" w:rsidRDefault="00000000" w:rsidRPr="00000000" w14:paraId="00000038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Рабочая программа соответствует государственным образовательным стандартам и адресована обучающимся 11 класса общеобразовательной школы.</w:t>
      </w:r>
    </w:p>
    <w:p w:rsidR="00000000" w:rsidDel="00000000" w:rsidP="00000000" w:rsidRDefault="00000000" w:rsidRPr="00000000" w14:paraId="00000039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Элективный курс “Орфография и пунктуация” рассчитан на 34 часа и предусматривает обучение в объёме 1 час в неделю</w:t>
      </w:r>
    </w:p>
    <w:p w:rsidR="00000000" w:rsidDel="00000000" w:rsidP="00000000" w:rsidRDefault="00000000" w:rsidRPr="00000000" w14:paraId="0000003A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Основная цель данного курса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</w:t>
      </w:r>
    </w:p>
    <w:p w:rsidR="00000000" w:rsidDel="00000000" w:rsidP="00000000" w:rsidRDefault="00000000" w:rsidRPr="00000000" w14:paraId="0000003B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Особенностью данной системы обучения является опора на языковое чутье учащихся, целенаправленное развитие лингвистической интуиции. В связи с этим основными направлениями в работе становятся, во-первых, усиленное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внимание к семантической стороне анализируемого явления 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(слова, предложения), что обеспечивает безошибочное применение того или иного правила без искажения смысла высказывания. Во-вторых,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опора на этимологический анализ 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при обучении орфографии, который держится на языковом чутье и удовлетворяет естественную, неистребимую потребность каждого человека разгадать тайну рождения слова, понять его истоки. Эта «этимологическая рефлексия» (Г. О. Винокур) становится надежным помощником в процессе формирования системы правописных умений и навыков. И наконец, важнейшим направлением в обучении становится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систематизация и обобщение знаний 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 области правописания и формирование умения ориентироваться в орфографии и пунктуации, учитывая их системность, логику, существующую взаимосвязь между различными элементами (принципы написания, правила, группы и варианты орфограмм, пунктограмм и т. п.).</w:t>
      </w:r>
    </w:p>
    <w:p w:rsidR="00000000" w:rsidDel="00000000" w:rsidP="00000000" w:rsidRDefault="00000000" w:rsidRPr="00000000" w14:paraId="0000003C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Программа дает представление о том, как нужно распределить материал по темам, какую последовательность изучения правил избрать, чтобы в результате обучения у старшеклассников укрепилась уверенность в целесообразности системы русского правописания, в его мотивированности, логичности (несмотря на некоторые нарушения общих орфографических и пунктуационных закономерностей).</w:t>
      </w:r>
    </w:p>
    <w:p w:rsidR="00000000" w:rsidDel="00000000" w:rsidP="00000000" w:rsidRDefault="00000000" w:rsidRPr="00000000" w14:paraId="0000003D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На этой базе формируется умение ориентироваться в многообразных явлениях письма, правильно выбирать из десятков правил именно то, что соответствует данной орфограмме и пунктограмме. Такое умение значительно облегчает задачу усвоения самих правил, так как заставляет в разных орфографических (пунктуационных)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из разных областей лингвистики и умело пользоваться этой информацией при выборе правильного написания.</w:t>
      </w:r>
    </w:p>
    <w:p w:rsidR="00000000" w:rsidDel="00000000" w:rsidP="00000000" w:rsidRDefault="00000000" w:rsidRPr="00000000" w14:paraId="0000003E">
      <w:pPr>
        <w:spacing w:after="280" w:before="280" w:line="276" w:lineRule="auto"/>
        <w:ind w:firstLine="708.6614173228347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ОБЩАЯ ХАРАКТЕРИСТИКА ЭЛЕКТИВНОГО КУРСА «РУССКИЙ ЯЗЫК. ОРФОГРАФИЯ И ПУНКТУАЦИЯ»</w:t>
      </w:r>
    </w:p>
    <w:p w:rsidR="00000000" w:rsidDel="00000000" w:rsidP="00000000" w:rsidRDefault="00000000" w:rsidRPr="00000000" w14:paraId="00000040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достижения основных целей курса необходимо пользоваться наиболее эффективными приемами, которые помогают реализовать указанные направления в обучении. Это прежде всего работа с обобщающими схемами и таблицами по орфографии и пунктуации; 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(в том числе и этимологическим, который в краткой и лаконичной форме дает информацию не только о происхождении слова, но и объясняет, мотивирует его написание). Кроме того, значительными обучающими возможностями обладает такой прием, как орфографический анализ структурно-семантических схем слова или морфемно-словообразовательных моделей. Такой анализ развивает языковую догадку, способность предвидеть орфографические затруднения, вызванные морфемной особенностью того словообразовательного образца, которому соответствует данное слово и десятки других слов этой группы.</w:t>
      </w:r>
    </w:p>
    <w:p w:rsidR="00000000" w:rsidDel="00000000" w:rsidP="00000000" w:rsidRDefault="00000000" w:rsidRPr="00000000" w14:paraId="00000042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Чтобы добиться хороших результатов, необходимо также иметь в виду, что успешность обучения орфографии во многом зависит от общего уровня речевого развития старшеклассника и прежде всего от владения видами речевой деятельности: осмысленным и точным пониманием чужого высказывания (аудирование, чтение); свободным и правильным выражением собственных мыслей в устной и письменной речи (говорение, письмо) с учетом разных ситуаций общения и в соответствии с нормами литературного языка. </w:t>
      </w:r>
    </w:p>
    <w:p w:rsidR="00000000" w:rsidDel="00000000" w:rsidP="00000000" w:rsidRDefault="00000000" w:rsidRPr="00000000" w14:paraId="00000043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Коммуникативно-деятельностный подход к совершенствованию правописных умений и навыков способствует активному развитию грамотности в широком смысле этого слова — функциональной грамотности, то есть способности извлекать, понимать, передавать, эффективно использовать полученную разными способами текстовую информацию (в том числе и представленную в виде правила правописания), а также связно, полно, последовательно, логично, выразительно излагать мысли в соответствии с определенной коммуникативной задачей и нормативными требованиями к речевому высказыванию (в том числе и правописными).</w:t>
      </w:r>
    </w:p>
    <w:p w:rsidR="00000000" w:rsidDel="00000000" w:rsidP="00000000" w:rsidRDefault="00000000" w:rsidRPr="00000000" w14:paraId="00000044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ЦЕЛИ ИЗУЧЕНИЯ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Изучение русского языка направлено на достижение следующих целей: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расширение и углубление знаний, полученных при изучении курса русского языка; закрепление теоретических знаний; развитие практических навыков и умений;</w:t>
      </w:r>
    </w:p>
    <w:p w:rsidR="00000000" w:rsidDel="00000000" w:rsidP="00000000" w:rsidRDefault="00000000" w:rsidRPr="00000000" w14:paraId="00000049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основная цель данного курса состоит в повышении грамотности учащихся, в развитии культуры письменной речи.</w:t>
      </w:r>
    </w:p>
    <w:p w:rsidR="00000000" w:rsidDel="00000000" w:rsidP="00000000" w:rsidRDefault="00000000" w:rsidRPr="00000000" w14:paraId="0000004B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 УЧЕБНОГО ПРЕДМЕТА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64" w:lineRule="auto"/>
        <w:ind w:left="120" w:firstLine="58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280" w:before="28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Орфография (17 ч)</w:t>
      </w:r>
    </w:p>
    <w:p w:rsidR="00000000" w:rsidDel="00000000" w:rsidP="00000000" w:rsidRDefault="00000000" w:rsidRPr="00000000" w14:paraId="0000004F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Орфография как система правил правописания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 (2 ч)</w:t>
      </w:r>
    </w:p>
    <w:p w:rsidR="00000000" w:rsidDel="00000000" w:rsidP="00000000" w:rsidRDefault="00000000" w:rsidRPr="00000000" w14:paraId="00000050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Орфография и пунктуация как разделы русского правописания.</w:t>
      </w:r>
    </w:p>
    <w:p w:rsidR="00000000" w:rsidDel="00000000" w:rsidP="00000000" w:rsidRDefault="00000000" w:rsidRPr="00000000" w14:paraId="00000051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Орфографическое правило как разновидность учебно-научного текста. Разделы русской орфографии и обобщающее правило для каждого из них.</w:t>
      </w:r>
    </w:p>
    <w:p w:rsidR="00000000" w:rsidDel="00000000" w:rsidP="00000000" w:rsidRDefault="00000000" w:rsidRPr="00000000" w14:paraId="00000052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Правописание морфем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(9 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ч)</w:t>
      </w:r>
    </w:p>
    <w:p w:rsidR="00000000" w:rsidDel="00000000" w:rsidP="00000000" w:rsidRDefault="00000000" w:rsidRPr="00000000" w14:paraId="00000053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Система правил, связанных с правописанием морфем. Принцип единообразного написания морфем — ведущий принцип русского правописания (морфематический).</w:t>
      </w:r>
    </w:p>
    <w:p w:rsidR="00000000" w:rsidDel="00000000" w:rsidP="00000000" w:rsidRDefault="00000000" w:rsidRPr="00000000" w14:paraId="00000054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корней.</w:t>
      </w:r>
    </w:p>
    <w:p w:rsidR="00000000" w:rsidDel="00000000" w:rsidP="00000000" w:rsidRDefault="00000000" w:rsidRPr="00000000" w14:paraId="00000055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приставок.</w:t>
      </w:r>
    </w:p>
    <w:p w:rsidR="00000000" w:rsidDel="00000000" w:rsidP="00000000" w:rsidRDefault="00000000" w:rsidRPr="00000000" w14:paraId="00000056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суффиксов.</w:t>
      </w:r>
    </w:p>
    <w:p w:rsidR="00000000" w:rsidDel="00000000" w:rsidP="00000000" w:rsidRDefault="00000000" w:rsidRPr="00000000" w14:paraId="00000057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согласных на стыке морфем.</w:t>
      </w:r>
    </w:p>
    <w:p w:rsidR="00000000" w:rsidDel="00000000" w:rsidP="00000000" w:rsidRDefault="00000000" w:rsidRPr="00000000" w14:paraId="00000058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личных окончаний глаголов.</w:t>
      </w:r>
    </w:p>
    <w:p w:rsidR="00000000" w:rsidDel="00000000" w:rsidP="00000000" w:rsidRDefault="00000000" w:rsidRPr="00000000" w14:paraId="00000059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причастий и деепричастий.</w:t>
      </w:r>
    </w:p>
    <w:p w:rsidR="00000000" w:rsidDel="00000000" w:rsidP="00000000" w:rsidRDefault="00000000" w:rsidRPr="00000000" w14:paraId="0000005A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Взаимосвязь значения, морфемного строения и написания слова. Орфографический анализ морфемно-словообразовательных моделей слов.</w:t>
      </w:r>
    </w:p>
    <w:p w:rsidR="00000000" w:rsidDel="00000000" w:rsidP="00000000" w:rsidRDefault="00000000" w:rsidRPr="00000000" w14:paraId="0000005B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Правописание ь и ъ в словах разных частей речи.</w:t>
      </w:r>
    </w:p>
    <w:p w:rsidR="00000000" w:rsidDel="00000000" w:rsidP="00000000" w:rsidRDefault="00000000" w:rsidRPr="00000000" w14:paraId="0000005C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Слитные, дефисные и раздельные написания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333333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333333"/>
          <w:sz w:val="28"/>
          <w:szCs w:val="28"/>
          <w:rtl w:val="0"/>
        </w:rPr>
        <w:t xml:space="preserve">ч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Система правил данного раздела правописания. Роль смыслового и грамматического анализа слова при выборе правильного написания.</w:t>
      </w:r>
    </w:p>
    <w:p w:rsidR="00000000" w:rsidDel="00000000" w:rsidP="00000000" w:rsidRDefault="00000000" w:rsidRPr="00000000" w14:paraId="0000005E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Орфограммы, связанные с различением на письме служебного слова и морфемы.</w:t>
      </w:r>
    </w:p>
    <w:p w:rsidR="00000000" w:rsidDel="00000000" w:rsidP="00000000" w:rsidRDefault="00000000" w:rsidRPr="00000000" w14:paraId="0000005F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Образование и написание сложных слов.</w:t>
      </w:r>
    </w:p>
    <w:p w:rsidR="00000000" w:rsidDel="00000000" w:rsidP="00000000" w:rsidRDefault="00000000" w:rsidRPr="00000000" w14:paraId="00000060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Употребление дефиса при написании знаменательных и служебных частей речи.</w:t>
      </w:r>
    </w:p>
    <w:p w:rsidR="00000000" w:rsidDel="00000000" w:rsidP="00000000" w:rsidRDefault="00000000" w:rsidRPr="00000000" w14:paraId="00000061">
      <w:pPr>
        <w:spacing w:after="280" w:before="280" w:line="276" w:lineRule="auto"/>
        <w:rPr>
          <w:rFonts w:ascii="Times New Roman" w:cs="Times New Roman" w:eastAsia="Times New Roman" w:hAnsi="Times New Roman"/>
          <w:b w:val="1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Н и НН в разных частях речи (2 ч)</w:t>
      </w:r>
    </w:p>
    <w:p w:rsidR="00000000" w:rsidDel="00000000" w:rsidP="00000000" w:rsidRDefault="00000000" w:rsidRPr="00000000" w14:paraId="00000062">
      <w:pPr>
        <w:spacing w:after="280" w:before="28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Пунктуация (17 ч)</w:t>
      </w:r>
    </w:p>
    <w:p w:rsidR="00000000" w:rsidDel="00000000" w:rsidP="00000000" w:rsidRDefault="00000000" w:rsidRPr="00000000" w14:paraId="00000063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Пунктуация как система правил расстановки знаков препинания (2 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Принципы русской пунктуации.</w:t>
      </w:r>
    </w:p>
    <w:p w:rsidR="00000000" w:rsidDel="00000000" w:rsidP="00000000" w:rsidRDefault="00000000" w:rsidRPr="00000000" w14:paraId="00000065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Основные функции пунктуационных знаков.</w:t>
      </w:r>
    </w:p>
    <w:p w:rsidR="00000000" w:rsidDel="00000000" w:rsidP="00000000" w:rsidRDefault="00000000" w:rsidRPr="00000000" w14:paraId="00000066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Знаки препинания внутри простого предложения (4 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Знаки препинания между членами предложения.</w:t>
      </w:r>
    </w:p>
    <w:p w:rsidR="00000000" w:rsidDel="00000000" w:rsidP="00000000" w:rsidRDefault="00000000" w:rsidRPr="00000000" w14:paraId="00000068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Знаки препинания между однородными членами предложения.</w:t>
      </w:r>
    </w:p>
    <w:p w:rsidR="00000000" w:rsidDel="00000000" w:rsidP="00000000" w:rsidRDefault="00000000" w:rsidRPr="00000000" w14:paraId="00000069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Знаки препинания в предложениях с обособленными членами.</w:t>
      </w:r>
    </w:p>
    <w:p w:rsidR="00000000" w:rsidDel="00000000" w:rsidP="00000000" w:rsidRDefault="00000000" w:rsidRPr="00000000" w14:paraId="0000006A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Знаки препинания при словах, грамматически не связанных с членами предложения.</w:t>
      </w:r>
    </w:p>
    <w:p w:rsidR="00000000" w:rsidDel="00000000" w:rsidP="00000000" w:rsidRDefault="00000000" w:rsidRPr="00000000" w14:paraId="0000006B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Знаки препинания между частями сложного предложения (5 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Виды сложных предложений.</w:t>
      </w:r>
    </w:p>
    <w:p w:rsidR="00000000" w:rsidDel="00000000" w:rsidP="00000000" w:rsidRDefault="00000000" w:rsidRPr="00000000" w14:paraId="0000006D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Знаки препинания между частями сложносочинённого предложения.</w:t>
      </w:r>
    </w:p>
    <w:p w:rsidR="00000000" w:rsidDel="00000000" w:rsidP="00000000" w:rsidRDefault="00000000" w:rsidRPr="00000000" w14:paraId="0000006E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Употребление знаков препинания между частями сложноподчинённого предложения.</w:t>
      </w:r>
    </w:p>
    <w:p w:rsidR="00000000" w:rsidDel="00000000" w:rsidP="00000000" w:rsidRDefault="00000000" w:rsidRPr="00000000" w14:paraId="0000006F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Употребление знаков препинания между частями бессоюзного сложного предложения.</w:t>
      </w:r>
    </w:p>
    <w:p w:rsidR="00000000" w:rsidDel="00000000" w:rsidP="00000000" w:rsidRDefault="00000000" w:rsidRPr="00000000" w14:paraId="00000070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Выбор знаков препинания внутри сложной синтаксической конструкции.</w:t>
      </w:r>
    </w:p>
    <w:p w:rsidR="00000000" w:rsidDel="00000000" w:rsidP="00000000" w:rsidRDefault="00000000" w:rsidRPr="00000000" w14:paraId="00000071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Знаки препинания при передаче чужой речи (3 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Знаки препинания при прямой и косвенной речи.</w:t>
      </w:r>
    </w:p>
    <w:p w:rsidR="00000000" w:rsidDel="00000000" w:rsidP="00000000" w:rsidRDefault="00000000" w:rsidRPr="00000000" w14:paraId="00000073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Оформление на письме прямой речи и диалога.</w:t>
      </w:r>
    </w:p>
    <w:p w:rsidR="00000000" w:rsidDel="00000000" w:rsidP="00000000" w:rsidRDefault="00000000" w:rsidRPr="00000000" w14:paraId="00000074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Разные способы оформления на письме цитат.</w:t>
      </w:r>
    </w:p>
    <w:p w:rsidR="00000000" w:rsidDel="00000000" w:rsidP="00000000" w:rsidRDefault="00000000" w:rsidRPr="00000000" w14:paraId="00000075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sz w:val="28"/>
          <w:szCs w:val="28"/>
          <w:rtl w:val="0"/>
        </w:rPr>
        <w:t xml:space="preserve">Знаки препинания в связном тексте (3 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Связный текст как синтаксическая единица.</w:t>
      </w:r>
    </w:p>
    <w:p w:rsidR="00000000" w:rsidDel="00000000" w:rsidP="00000000" w:rsidRDefault="00000000" w:rsidRPr="00000000" w14:paraId="00000077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Роль контекста в выборе пунктуационного знака.</w:t>
      </w:r>
    </w:p>
    <w:p w:rsidR="00000000" w:rsidDel="00000000" w:rsidP="00000000" w:rsidRDefault="00000000" w:rsidRPr="00000000" w14:paraId="00000078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Авторские знаки препинания.</w:t>
      </w:r>
    </w:p>
    <w:p w:rsidR="00000000" w:rsidDel="00000000" w:rsidP="00000000" w:rsidRDefault="00000000" w:rsidRPr="00000000" w14:paraId="00000079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80" w:before="280" w:line="276" w:lineRule="auto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ПЛАНИРУЕМЫЕ ОБРАЗОВАТЕЛЬНЫЕ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ind w:left="1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ЛИЧНОСТНЫЕ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ind w:left="1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следующие личностные результаты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гражданского воспитания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неприятие любых форм экстремизма, дискриминации; понимание роли различных социальных институтов в жизни человека;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патриотического воспитания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духовно-нравственного воспитания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эстетического воспитания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физического воспитания, формирования культуры здоровья и эмоционального благополучия: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экологического воспитания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8)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ценности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</w:t>
      </w:r>
    </w:p>
    <w:p w:rsidR="00000000" w:rsidDel="00000000" w:rsidP="00000000" w:rsidRDefault="00000000" w:rsidRPr="00000000" w14:paraId="00000095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МЕТАПРЕДМЕТНЫЕ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выявлять и характеризовать существенные признаки языковых единиц, языковых явлений и процессов;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выявлять дефицит информации текста, необходимой для решения поставленной учебной задачи;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базовые исследовательские действия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часть познавательных универсальных учебных действий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использовать вопросы как исследовательский инструмент познания в языковом образовании;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умения работать с информацией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как часть познавательных универсальных учебных действий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умения общения как часть коммуникативных универсальных учебных действий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распознавать невербальные средства общения, понимать значение социальных знаков;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знать и распознавать предпосылки конфликтных ситуаций и смягчать конфликты, вести переговоры;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умения самоорганизации как части регулятивных универсальных учебных действий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выявлять проблемы для решения в учебных и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умения самоконтроля, эмоционального интеллекта как части регулятивных универсальных учебных действий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владеть разными способами самоконтроля (в том числе речевого), самомотивации и рефлексии;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давать адекватную оценку учебной ситуации и предлагать план её изменения;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00000" w:rsidDel="00000000" w:rsidP="00000000" w:rsidRDefault="00000000" w:rsidRPr="00000000" w14:paraId="000000B0">
      <w:pPr>
        <w:spacing w:line="264" w:lineRule="auto"/>
        <w:ind w:lef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Распознавать изученные орфограммы; проводить орфографический анализ слов; применять знания по орфографии в практике правописания.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Распознавать изученные правила пунктуации; проводить пунктуационный анализ слов; применять знания по пунктуации в практике правописания.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64" w:lineRule="auto"/>
        <w:ind w:firstLine="600"/>
        <w:jc w:val="both"/>
        <w:rPr>
          <w:rFonts w:ascii="Times New Roman" w:cs="Times New Roman" w:eastAsia="Times New Roman" w:hAnsi="Times New Roman"/>
          <w:color w:val="333333"/>
          <w:sz w:val="28"/>
          <w:szCs w:val="28"/>
        </w:rPr>
        <w:sectPr>
          <w:type w:val="continuous"/>
          <w:pgSz w:h="16834" w:w="11909" w:orient="portrait"/>
          <w:pgMar w:bottom="1440" w:top="1440" w:left="1417.3228346456694" w:right="1440" w:header="360" w:footer="36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276" w:lineRule="auto"/>
        <w:ind w:left="1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ПОУРОЧНОЕ ПЛАНИРОВАНИЕ</w:t>
      </w:r>
    </w:p>
    <w:p w:rsidR="00000000" w:rsidDel="00000000" w:rsidP="00000000" w:rsidRDefault="00000000" w:rsidRPr="00000000" w14:paraId="000000B5">
      <w:pPr>
        <w:spacing w:line="276" w:lineRule="auto"/>
        <w:ind w:left="1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276" w:lineRule="auto"/>
        <w:ind w:left="1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60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0"/>
        <w:gridCol w:w="7650"/>
        <w:gridCol w:w="1725"/>
        <w:gridCol w:w="3465"/>
        <w:tblGridChange w:id="0">
          <w:tblGrid>
            <w:gridCol w:w="1020"/>
            <w:gridCol w:w="7650"/>
            <w:gridCol w:w="1725"/>
            <w:gridCol w:w="34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Кол-во часов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Орфография и пунктуация как разделы русского правописания.</w:t>
            </w:r>
          </w:p>
          <w:p w:rsidR="00000000" w:rsidDel="00000000" w:rsidP="00000000" w:rsidRDefault="00000000" w:rsidRPr="00000000" w14:paraId="000000BD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Орфографическое правило как разновидность учебно-научного текста. Разделы русской орфографии и обобщающее правило для каждого из них.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Система правил, связанных с правописанием морфем. Принцип единообразного написания морфем — ведущий принцип русского правописания (морфематический).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корней.</w:t>
            </w:r>
          </w:p>
          <w:p w:rsidR="00000000" w:rsidDel="00000000" w:rsidP="00000000" w:rsidRDefault="00000000" w:rsidRPr="00000000" w14:paraId="000000CA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приставок.</w:t>
            </w:r>
          </w:p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суффиксов.</w:t>
            </w:r>
          </w:p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согласных на стыке морфем.</w:t>
            </w:r>
          </w:p>
          <w:p w:rsidR="00000000" w:rsidDel="00000000" w:rsidP="00000000" w:rsidRDefault="00000000" w:rsidRPr="00000000" w14:paraId="000000D9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личных окончаний глаголов.</w:t>
            </w:r>
          </w:p>
          <w:p w:rsidR="00000000" w:rsidDel="00000000" w:rsidP="00000000" w:rsidRDefault="00000000" w:rsidRPr="00000000" w14:paraId="000000DF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причастий и деепричастий.</w:t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Взаимосвязь значения, морфемного строения и написания слова.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Орфографический анализ морфемно-словообразовательных моделей слов.</w:t>
            </w:r>
          </w:p>
          <w:p w:rsidR="00000000" w:rsidDel="00000000" w:rsidP="00000000" w:rsidRDefault="00000000" w:rsidRPr="00000000" w14:paraId="000000ED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Правописание ь и ъ в словах разных частей речи.</w:t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Система правил данного раздела правописания. Роль смыслового и грамматического анализа слова при выборе правильного написания.</w:t>
            </w:r>
          </w:p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Орфограммы, связанные с различением на письме служебного слова и морфемы.</w:t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Образование и написание сложных слов.</w:t>
            </w:r>
          </w:p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Употребление дефиса при написании знаменательных и служебных частей речи.</w:t>
            </w:r>
          </w:p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 и НН в разных частях речи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 и НН в разных частях речи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Принципы русской пунктуации.</w:t>
            </w:r>
          </w:p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Основные функции пунктуационных знаков.</w:t>
            </w:r>
          </w:p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Знаки препинания между членами предложения.</w:t>
            </w:r>
          </w:p>
          <w:p w:rsidR="00000000" w:rsidDel="00000000" w:rsidP="00000000" w:rsidRDefault="00000000" w:rsidRPr="00000000" w14:paraId="0000011D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Знаки препинания между однородными членами предложения.</w:t>
            </w:r>
          </w:p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Знаки препинания в предложениях с обособленными членами.</w:t>
            </w:r>
          </w:p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Знаки препинания при словах, грамматически не связанных с членами предложения.</w:t>
            </w:r>
          </w:p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Виды сложных предложений.</w:t>
            </w:r>
          </w:p>
          <w:p w:rsidR="00000000" w:rsidDel="00000000" w:rsidP="00000000" w:rsidRDefault="00000000" w:rsidRPr="00000000" w14:paraId="00000131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Знаки препинания между частями сложносочинённого предложения.</w:t>
            </w:r>
          </w:p>
          <w:p w:rsidR="00000000" w:rsidDel="00000000" w:rsidP="00000000" w:rsidRDefault="00000000" w:rsidRPr="00000000" w14:paraId="00000136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Употребление знаков препинания между частями сложноподчинённого предложения.</w:t>
            </w:r>
          </w:p>
          <w:p w:rsidR="00000000" w:rsidDel="00000000" w:rsidP="00000000" w:rsidRDefault="00000000" w:rsidRPr="00000000" w14:paraId="00000137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Употребление знаков препинания между частями бессоюзного сложного предложения.</w:t>
            </w:r>
          </w:p>
          <w:p w:rsidR="00000000" w:rsidDel="00000000" w:rsidP="00000000" w:rsidRDefault="00000000" w:rsidRPr="00000000" w14:paraId="0000013C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Выбор знаков препинания внутри сложной синтаксической конструкции.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Знаки препинания при прямой и косвенной речи.</w:t>
            </w:r>
          </w:p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Оформление на письме прямой речи и диалога.</w:t>
            </w:r>
          </w:p>
          <w:p w:rsidR="00000000" w:rsidDel="00000000" w:rsidP="00000000" w:rsidRDefault="00000000" w:rsidRPr="00000000" w14:paraId="0000014A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Разные способы оформления на письме цитат.</w:t>
            </w:r>
          </w:p>
          <w:p w:rsidR="00000000" w:rsidDel="00000000" w:rsidP="00000000" w:rsidRDefault="00000000" w:rsidRPr="00000000" w14:paraId="0000014F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Связный текст как синтаксическая единица.</w:t>
            </w:r>
          </w:p>
          <w:p w:rsidR="00000000" w:rsidDel="00000000" w:rsidP="00000000" w:rsidRDefault="00000000" w:rsidRPr="00000000" w14:paraId="00000154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Роль контекста в выборе пунктуационного знака.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after="280" w:before="280" w:line="276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Авторские знаки препинания.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Всего: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3">
      <w:pPr>
        <w:spacing w:line="276" w:lineRule="auto"/>
        <w:ind w:left="1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1909" w:w="16834" w:orient="landscape"/>
      <w:pgMar w:bottom="1440" w:top="1440" w:left="1417.3228346456694" w:right="144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